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B08C2" w:rsidRPr="008E74DB" w:rsidTr="008E74DB">
        <w:tc>
          <w:tcPr>
            <w:tcW w:w="2972" w:type="dxa"/>
          </w:tcPr>
          <w:p w:rsidR="003B08C2" w:rsidRPr="008E74DB" w:rsidRDefault="003B08C2" w:rsidP="008E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noProof/>
                <w:color w:val="A50021"/>
                <w:sz w:val="24"/>
                <w:szCs w:val="24"/>
                <w:lang w:val="uk-UA"/>
              </w:rPr>
              <w:drawing>
                <wp:inline distT="0" distB="0" distL="0" distR="0" wp14:anchorId="41AA0BC1" wp14:editId="3391B3DF">
                  <wp:extent cx="1104900" cy="1731933"/>
                  <wp:effectExtent l="0" t="0" r="0" b="1905"/>
                  <wp:docPr id="30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722" cy="1736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E74DB" w:rsidRPr="008E74DB" w:rsidRDefault="003B08C2" w:rsidP="008E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Силабус навчальної дисципліни </w:t>
            </w:r>
          </w:p>
          <w:p w:rsidR="003B08C2" w:rsidRPr="008E74DB" w:rsidRDefault="003B08C2" w:rsidP="008E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«АНАЛІЗ ДАНИХ ДЛЯ МАРКЕТИНГУ»</w:t>
            </w:r>
          </w:p>
          <w:p w:rsidR="003B08C2" w:rsidRPr="008E74DB" w:rsidRDefault="003B08C2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програма: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підприємства</w:t>
            </w:r>
          </w:p>
          <w:p w:rsidR="003B08C2" w:rsidRPr="008E74DB" w:rsidRDefault="003B08C2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Спеціальність: 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  <w:p w:rsidR="003B08C2" w:rsidRPr="008E74DB" w:rsidRDefault="003B08C2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навчання: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:rsidR="003B08C2" w:rsidRPr="008E74DB" w:rsidRDefault="003B08C2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Семестр: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</w:p>
        </w:tc>
      </w:tr>
      <w:tr w:rsidR="003B08C2" w:rsidRPr="008E74DB" w:rsidTr="008E74DB">
        <w:tc>
          <w:tcPr>
            <w:tcW w:w="2972" w:type="dxa"/>
          </w:tcPr>
          <w:p w:rsidR="003B08C2" w:rsidRPr="008E74DB" w:rsidRDefault="003B08C2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Структурний підрозділ</w:t>
            </w:r>
          </w:p>
        </w:tc>
        <w:tc>
          <w:tcPr>
            <w:tcW w:w="6373" w:type="dxa"/>
          </w:tcPr>
          <w:p w:rsidR="003B08C2" w:rsidRPr="008E74DB" w:rsidRDefault="003B08C2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економіки підприємства, природничо-економічний факультет</w:t>
            </w:r>
          </w:p>
        </w:tc>
      </w:tr>
      <w:tr w:rsidR="003B08C2" w:rsidRPr="008E74DB" w:rsidTr="008E74DB">
        <w:tc>
          <w:tcPr>
            <w:tcW w:w="2972" w:type="dxa"/>
          </w:tcPr>
          <w:p w:rsidR="003B08C2" w:rsidRPr="008E74DB" w:rsidRDefault="003B08C2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Викладач:</w:t>
            </w:r>
          </w:p>
          <w:p w:rsidR="003B08C2" w:rsidRPr="008E74DB" w:rsidRDefault="003B08C2" w:rsidP="008E7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drawing>
                <wp:inline distT="0" distB="0" distL="0" distR="0">
                  <wp:extent cx="1549400" cy="1806296"/>
                  <wp:effectExtent l="0" t="0" r="0" b="3810"/>
                  <wp:docPr id="1" name="Рисунок 1" descr="D:\РОБОТА ФАКУЛЬТЕТУ\фб\кафедрали\20200123_152730-e1579787949102-257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ОБОТА ФАКУЛЬТЕТУ\фб\кафедрали\20200123_152730-e1579787949102-257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81" cy="181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3B08C2" w:rsidRPr="008E74DB" w:rsidRDefault="002E1527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ПІБ: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Буторіна Вероніка Борисівна</w:t>
            </w:r>
          </w:p>
          <w:p w:rsidR="002E1527" w:rsidRPr="008E74DB" w:rsidRDefault="002E1527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Посада: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старший викладач</w:t>
            </w:r>
            <w:bookmarkStart w:id="0" w:name="_GoBack"/>
            <w:bookmarkEnd w:id="0"/>
          </w:p>
          <w:p w:rsidR="002E1527" w:rsidRPr="008E74DB" w:rsidRDefault="002E1527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Вчений ступінь: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кандидат економічних наук</w:t>
            </w:r>
          </w:p>
          <w:p w:rsidR="002E1527" w:rsidRPr="008E74DB" w:rsidRDefault="002E1527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E-mail: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Pr="008E74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butorina@kpnu.edu.ua</w:t>
              </w:r>
            </w:hyperlink>
          </w:p>
          <w:p w:rsidR="002E1527" w:rsidRPr="008E74DB" w:rsidRDefault="002E1527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Робоче місце: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корпус №9 ( вул. Суворова, 52), 209 ауд. (кафедра економіки підприємства)</w:t>
            </w:r>
          </w:p>
          <w:p w:rsidR="002E1527" w:rsidRPr="008E74DB" w:rsidRDefault="002E1527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Профайл викладача: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Pr="008E74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https://kaf-ep.kpnu.edu.ua/butorina-veronika-borysivna/</w:t>
              </w:r>
            </w:hyperlink>
          </w:p>
        </w:tc>
      </w:tr>
      <w:tr w:rsidR="003B08C2" w:rsidRPr="008E74DB" w:rsidTr="008E74DB">
        <w:tc>
          <w:tcPr>
            <w:tcW w:w="2972" w:type="dxa"/>
          </w:tcPr>
          <w:p w:rsidR="003B08C2" w:rsidRPr="008E74DB" w:rsidRDefault="002E1527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Лінк на освітній контент дисципліни</w:t>
            </w:r>
          </w:p>
        </w:tc>
        <w:tc>
          <w:tcPr>
            <w:tcW w:w="6373" w:type="dxa"/>
          </w:tcPr>
          <w:p w:rsidR="003B08C2" w:rsidRPr="008E74DB" w:rsidRDefault="003B08C2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08C2" w:rsidRPr="008E74DB" w:rsidTr="008E74DB">
        <w:tc>
          <w:tcPr>
            <w:tcW w:w="2972" w:type="dxa"/>
          </w:tcPr>
          <w:p w:rsidR="003B08C2" w:rsidRPr="008E74DB" w:rsidRDefault="002E1527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6373" w:type="dxa"/>
          </w:tcPr>
          <w:p w:rsidR="003B08C2" w:rsidRPr="008E74DB" w:rsidRDefault="002E1527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</w:tc>
      </w:tr>
      <w:tr w:rsidR="003B08C2" w:rsidRPr="008E74DB" w:rsidTr="008E74DB">
        <w:tc>
          <w:tcPr>
            <w:tcW w:w="2972" w:type="dxa"/>
          </w:tcPr>
          <w:p w:rsidR="003B08C2" w:rsidRPr="008E74DB" w:rsidRDefault="002E1527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дисципліни, кредити ЄКТС / години</w:t>
            </w:r>
          </w:p>
        </w:tc>
        <w:tc>
          <w:tcPr>
            <w:tcW w:w="6373" w:type="dxa"/>
          </w:tcPr>
          <w:p w:rsidR="003B08C2" w:rsidRPr="008E74DB" w:rsidRDefault="002E1527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кредити ЄКТС / 120 годин</w:t>
            </w:r>
          </w:p>
        </w:tc>
      </w:tr>
      <w:tr w:rsidR="003B08C2" w:rsidRPr="008E74DB" w:rsidTr="008E74DB">
        <w:tc>
          <w:tcPr>
            <w:tcW w:w="2972" w:type="dxa"/>
          </w:tcPr>
          <w:p w:rsidR="003B08C2" w:rsidRPr="008E74DB" w:rsidRDefault="002E1527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6373" w:type="dxa"/>
          </w:tcPr>
          <w:p w:rsidR="003B08C2" w:rsidRPr="008E74DB" w:rsidRDefault="002E1527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</w:tr>
      <w:tr w:rsidR="002E1527" w:rsidRPr="008E74DB" w:rsidTr="008E74DB">
        <w:tc>
          <w:tcPr>
            <w:tcW w:w="2972" w:type="dxa"/>
          </w:tcPr>
          <w:p w:rsidR="002E1527" w:rsidRPr="008E74DB" w:rsidRDefault="002E1527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навчання</w:t>
            </w:r>
          </w:p>
        </w:tc>
        <w:tc>
          <w:tcPr>
            <w:tcW w:w="6373" w:type="dxa"/>
          </w:tcPr>
          <w:p w:rsidR="002E1527" w:rsidRPr="008E74DB" w:rsidRDefault="002E1527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Очна, заочна</w:t>
            </w:r>
          </w:p>
        </w:tc>
      </w:tr>
      <w:tr w:rsidR="002E1527" w:rsidRPr="008E74DB" w:rsidTr="008E74DB">
        <w:tc>
          <w:tcPr>
            <w:tcW w:w="2972" w:type="dxa"/>
          </w:tcPr>
          <w:p w:rsidR="002E1527" w:rsidRPr="008E74DB" w:rsidRDefault="002E1527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дисцип</w:t>
            </w:r>
            <w:r w:rsidR="00173B0E"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ліни</w:t>
            </w:r>
          </w:p>
        </w:tc>
        <w:tc>
          <w:tcPr>
            <w:tcW w:w="6373" w:type="dxa"/>
          </w:tcPr>
          <w:p w:rsidR="00173B0E" w:rsidRPr="008E74DB" w:rsidRDefault="00173B0E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Академічна доброчесність.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Очікується, що роботи здобувачів вищої освіти будуть їх оригінальними дослідженнями чи міркуваннями. Списування, 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втручання в роботу інших здобувачів становлять, але не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обмежують приклади можливої академічної недоброчесності. Виявлення ознак академічної недоброчесності в письмовій роботі здобувача є підставою для її незарахування викладачем, незалежно від масштабів плагіату чи обману.</w:t>
            </w:r>
          </w:p>
          <w:p w:rsidR="00173B0E" w:rsidRPr="008E74DB" w:rsidRDefault="00173B0E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Відвідування занять. 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Очікується, що всі здобувачі відвідають усі лекційні та практичні заняття курсу. Здобувачі вищої освіти мають інформувати викладача про неможливість відвідати заняття. У будь-якому випадку здобувачі мають дотримуватися термінів виконання усіх видів робіт, передбачених курсом. Креативна ініціатива здобувача підтримується. </w:t>
            </w:r>
          </w:p>
        </w:tc>
      </w:tr>
      <w:tr w:rsidR="00173B0E" w:rsidRPr="008E74DB" w:rsidTr="008E74DB">
        <w:tc>
          <w:tcPr>
            <w:tcW w:w="2972" w:type="dxa"/>
          </w:tcPr>
          <w:p w:rsidR="00173B0E" w:rsidRPr="008E74DB" w:rsidRDefault="00173B0E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будемо вивчати?</w:t>
            </w:r>
          </w:p>
        </w:tc>
        <w:tc>
          <w:tcPr>
            <w:tcW w:w="6373" w:type="dxa"/>
          </w:tcPr>
          <w:p w:rsidR="00173B0E" w:rsidRPr="008E74DB" w:rsidRDefault="00173B0E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вивчення дисципліни: 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аналізу даних за допомогою цифрових додатків у сфері маркетингу</w:t>
            </w:r>
          </w:p>
        </w:tc>
      </w:tr>
      <w:tr w:rsidR="00173B0E" w:rsidRPr="008E74DB" w:rsidTr="008E74DB">
        <w:tc>
          <w:tcPr>
            <w:tcW w:w="2972" w:type="dxa"/>
          </w:tcPr>
          <w:p w:rsidR="00173B0E" w:rsidRPr="008E74DB" w:rsidRDefault="00173B0E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Чому це треба вивчати?</w:t>
            </w:r>
          </w:p>
        </w:tc>
        <w:tc>
          <w:tcPr>
            <w:tcW w:w="6373" w:type="dxa"/>
          </w:tcPr>
          <w:p w:rsidR="00173B0E" w:rsidRPr="008E74DB" w:rsidRDefault="00173B0E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</w:t>
            </w:r>
            <w:r w:rsidRPr="008E74DB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  <w:r w:rsidRPr="008E74DB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навчальної</w:t>
            </w:r>
            <w:r w:rsidRPr="008E74DB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дисципліни – формування знань щодо введення, обробки даних про ринок та презентації результатів маркетингових досліджень.</w:t>
            </w:r>
          </w:p>
        </w:tc>
      </w:tr>
      <w:tr w:rsidR="00173B0E" w:rsidRPr="008E74DB" w:rsidTr="008E74DB">
        <w:tc>
          <w:tcPr>
            <w:tcW w:w="2972" w:type="dxa"/>
          </w:tcPr>
          <w:p w:rsidR="00173B0E" w:rsidRPr="008E74DB" w:rsidRDefault="00173B0E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Яких результатів можна досягнути?</w:t>
            </w:r>
          </w:p>
        </w:tc>
        <w:tc>
          <w:tcPr>
            <w:tcW w:w="6373" w:type="dxa"/>
          </w:tcPr>
          <w:p w:rsidR="00173B0E" w:rsidRPr="008E74DB" w:rsidRDefault="00173B0E" w:rsidP="008E74DB">
            <w:pPr>
              <w:pStyle w:val="1"/>
              <w:tabs>
                <w:tab w:val="left" w:pos="935"/>
                <w:tab w:val="left" w:pos="95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Вивчення методів аналізу даних за допомогою цифрових додатків у сфері маркетингу.</w:t>
            </w:r>
          </w:p>
          <w:p w:rsidR="00173B0E" w:rsidRPr="008E74DB" w:rsidRDefault="00173B0E" w:rsidP="008E74DB">
            <w:pPr>
              <w:pStyle w:val="1"/>
              <w:tabs>
                <w:tab w:val="left" w:pos="935"/>
                <w:tab w:val="left" w:pos="95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lastRenderedPageBreak/>
              <w:t>Здатність виявляти ефективний інструментарій для конкретної маркетингової потреби.</w:t>
            </w:r>
          </w:p>
          <w:p w:rsidR="00173B0E" w:rsidRPr="008E74DB" w:rsidRDefault="00173B0E" w:rsidP="008E74DB">
            <w:pPr>
              <w:pStyle w:val="1"/>
              <w:tabs>
                <w:tab w:val="left" w:pos="935"/>
                <w:tab w:val="left" w:pos="95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Здатність підбирати дієві та надійні способи збору, аналізу та візуалізації даних.</w:t>
            </w:r>
          </w:p>
          <w:p w:rsidR="00173B0E" w:rsidRPr="008E74DB" w:rsidRDefault="00173B0E" w:rsidP="008E74DB">
            <w:pPr>
              <w:pStyle w:val="1"/>
              <w:tabs>
                <w:tab w:val="left" w:pos="935"/>
                <w:tab w:val="left" w:pos="95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Уміння використовувати дані при прийнятті рішень для агенцій, організацій або клієнтів.</w:t>
            </w:r>
          </w:p>
        </w:tc>
      </w:tr>
      <w:tr w:rsidR="00173B0E" w:rsidRPr="008E74DB" w:rsidTr="008E74DB">
        <w:tc>
          <w:tcPr>
            <w:tcW w:w="2972" w:type="dxa"/>
          </w:tcPr>
          <w:p w:rsidR="00173B0E" w:rsidRPr="008E74DB" w:rsidRDefault="00173B0E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Як можна використати набуті знання та уміння?</w:t>
            </w:r>
          </w:p>
        </w:tc>
        <w:tc>
          <w:tcPr>
            <w:tcW w:w="6373" w:type="dxa"/>
          </w:tcPr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Спеціальні (фахові) компетентності:</w:t>
            </w:r>
          </w:p>
          <w:p w:rsidR="000B49F3" w:rsidRPr="008E74DB" w:rsidRDefault="000B49F3" w:rsidP="008E74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вміння формувати фінансову звітність за міжнародними стандартами, інтерпретувати, оприлюднювати й використовувати відповідну інформацію для прийняття управлінських рішень;</w:t>
            </w:r>
          </w:p>
          <w:p w:rsidR="000B49F3" w:rsidRPr="008E74DB" w:rsidRDefault="000B49F3" w:rsidP="008E74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здатність застосовувати методи і методики аналітичного забезпечення сучасних систем менеджменту з урахуванням стратегії розвитку підприємства в умовах невизначеності, ризику та/або асиметричності інформації;</w:t>
            </w:r>
          </w:p>
          <w:p w:rsidR="00173B0E" w:rsidRPr="008E74DB" w:rsidRDefault="000B49F3" w:rsidP="008E74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здатність обирати і застосовувати цифрові форми представлення результатів аналізу маркетингових даних.</w:t>
            </w:r>
          </w:p>
        </w:tc>
      </w:tr>
      <w:tr w:rsidR="000B49F3" w:rsidRPr="008E74DB" w:rsidTr="008E74DB">
        <w:tc>
          <w:tcPr>
            <w:tcW w:w="2972" w:type="dxa"/>
          </w:tcPr>
          <w:p w:rsidR="000B49F3" w:rsidRPr="008E74DB" w:rsidRDefault="000B49F3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дисципліни</w:t>
            </w:r>
          </w:p>
        </w:tc>
        <w:tc>
          <w:tcPr>
            <w:tcW w:w="6373" w:type="dxa"/>
          </w:tcPr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8E74DB">
              <w:rPr>
                <w:b/>
                <w:sz w:val="24"/>
                <w:szCs w:val="24"/>
              </w:rPr>
              <w:t>ЗМ 1. Методи маркетингової аналітики</w:t>
            </w:r>
            <w:r w:rsidRPr="008E74DB">
              <w:rPr>
                <w:b/>
                <w:sz w:val="24"/>
                <w:szCs w:val="24"/>
              </w:rPr>
              <w:t>: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Технічні елементи маркетингу та аналітичний процес.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pacing w:val="-3"/>
                <w:sz w:val="24"/>
                <w:szCs w:val="24"/>
              </w:rPr>
              <w:t>Регресійні методи аналізу даних</w:t>
            </w:r>
            <w:r w:rsidRPr="008E74DB">
              <w:rPr>
                <w:sz w:val="24"/>
                <w:szCs w:val="24"/>
              </w:rPr>
              <w:t>.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Кластерний метод і метод класифікації даних.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pacing w:val="-3"/>
                <w:sz w:val="24"/>
                <w:szCs w:val="24"/>
              </w:rPr>
              <w:t>Веб-аналітика</w:t>
            </w:r>
            <w:r w:rsidRPr="008E74DB">
              <w:rPr>
                <w:sz w:val="24"/>
                <w:szCs w:val="24"/>
              </w:rPr>
              <w:t>.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Контент-аналіз.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Моделювання маркетингової аналітики.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8E74DB">
              <w:rPr>
                <w:b/>
                <w:sz w:val="24"/>
                <w:szCs w:val="24"/>
              </w:rPr>
              <w:t>ЗМ 2. Візуальна аналітика в маркетингу</w:t>
            </w:r>
            <w:r w:rsidRPr="008E74DB">
              <w:rPr>
                <w:b/>
                <w:sz w:val="24"/>
                <w:szCs w:val="24"/>
              </w:rPr>
              <w:t>: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Типологія даних для візуальної аналітики.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Техніки візуалізації даних.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Аналіз цільової аудиторії та локації.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Аналіз продукту.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Аналіз рекламної діяльності.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Аналіз цінової стратегії.</w:t>
            </w:r>
          </w:p>
        </w:tc>
      </w:tr>
      <w:tr w:rsidR="000B49F3" w:rsidRPr="008E74DB" w:rsidTr="008E74DB">
        <w:tc>
          <w:tcPr>
            <w:tcW w:w="2972" w:type="dxa"/>
          </w:tcPr>
          <w:p w:rsidR="000B49F3" w:rsidRPr="008E74DB" w:rsidRDefault="000B49F3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 навчання</w:t>
            </w:r>
          </w:p>
        </w:tc>
        <w:tc>
          <w:tcPr>
            <w:tcW w:w="6373" w:type="dxa"/>
          </w:tcPr>
          <w:p w:rsidR="000B49F3" w:rsidRPr="008E74DB" w:rsidRDefault="000B49F3" w:rsidP="008E74DB">
            <w:pPr>
              <w:pStyle w:val="1"/>
              <w:tabs>
                <w:tab w:val="left" w:pos="935"/>
                <w:tab w:val="left" w:pos="95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Активізовані методи навчання: панельна лекція, «ажурна пилка», проблемні методи навчання, метод проектів, метод ділової гри.</w:t>
            </w:r>
          </w:p>
        </w:tc>
      </w:tr>
      <w:tr w:rsidR="000B49F3" w:rsidRPr="008E74DB" w:rsidTr="008E74DB">
        <w:tc>
          <w:tcPr>
            <w:tcW w:w="2972" w:type="dxa"/>
          </w:tcPr>
          <w:p w:rsidR="000B49F3" w:rsidRPr="008E74DB" w:rsidRDefault="000B49F3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6373" w:type="dxa"/>
          </w:tcPr>
          <w:p w:rsidR="000B49F3" w:rsidRPr="008E74DB" w:rsidRDefault="000B49F3" w:rsidP="008E74DB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E74DB">
              <w:rPr>
                <w:rFonts w:cs="Times New Roman"/>
                <w:sz w:val="24"/>
                <w:szCs w:val="24"/>
              </w:rPr>
              <w:t xml:space="preserve">Варенко В. Інформаційно-аналітична діяльність: навч. посіб. Київ: Університет «Україна», 2014. 417 с. </w:t>
            </w:r>
          </w:p>
          <w:p w:rsidR="000B49F3" w:rsidRPr="008E74DB" w:rsidRDefault="000B49F3" w:rsidP="008E74DB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E74DB">
              <w:rPr>
                <w:rFonts w:cs="Times New Roman"/>
                <w:sz w:val="24"/>
                <w:szCs w:val="24"/>
              </w:rPr>
              <w:t>Визуализация информации как инструмент веб-маркетинга. URL: https://lpgenerator. ru/blog/2013/09/27/vizualizaciya-informacii-kakinstrument-veb-marketinga. (дата звернення: 13.04.2021)</w:t>
            </w:r>
          </w:p>
          <w:p w:rsidR="000B49F3" w:rsidRPr="008E74DB" w:rsidRDefault="000B49F3" w:rsidP="008E74DB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E74DB">
              <w:rPr>
                <w:rFonts w:cs="Times New Roman"/>
                <w:sz w:val="24"/>
                <w:szCs w:val="24"/>
              </w:rPr>
              <w:t xml:space="preserve">Кравцова А., Янчук Т. Використання цифрових технологій в маркетинговій діяльності. </w:t>
            </w:r>
            <w:r w:rsidRPr="008E74DB">
              <w:rPr>
                <w:rFonts w:cs="Times New Roman"/>
                <w:i/>
                <w:sz w:val="24"/>
                <w:szCs w:val="24"/>
              </w:rPr>
              <w:t xml:space="preserve">Науковий вісник МНУ імені В.О. Сухомлинського. </w:t>
            </w:r>
            <w:r w:rsidRPr="008E74DB">
              <w:rPr>
                <w:rFonts w:cs="Times New Roman"/>
                <w:sz w:val="24"/>
                <w:szCs w:val="24"/>
              </w:rPr>
              <w:t>2(11). 2018. С. 75–81.</w:t>
            </w:r>
          </w:p>
          <w:p w:rsidR="000B49F3" w:rsidRPr="008E74DB" w:rsidRDefault="000B49F3" w:rsidP="008E74DB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E74DB">
              <w:rPr>
                <w:rFonts w:cs="Times New Roman"/>
                <w:sz w:val="24"/>
                <w:szCs w:val="24"/>
              </w:rPr>
              <w:t>Маркетинг і цифрові технології / за ред. Г. О. Оборського. Одеса : ТЕС. 2017. 139 с.</w:t>
            </w:r>
          </w:p>
          <w:p w:rsidR="000B49F3" w:rsidRPr="008E74DB" w:rsidRDefault="000B49F3" w:rsidP="008E74DB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E74DB">
              <w:rPr>
                <w:rFonts w:cs="Times New Roman"/>
                <w:sz w:val="24"/>
                <w:szCs w:val="24"/>
              </w:rPr>
              <w:t xml:space="preserve">Окландер М. А. Щоб бути ефективним, маркетинг повинен змінитися. </w:t>
            </w:r>
            <w:r w:rsidRPr="008E74DB">
              <w:rPr>
                <w:rFonts w:cs="Times New Roman"/>
                <w:i/>
                <w:sz w:val="24"/>
                <w:szCs w:val="24"/>
              </w:rPr>
              <w:t>Економіст</w:t>
            </w:r>
            <w:r w:rsidRPr="008E74DB">
              <w:rPr>
                <w:rFonts w:cs="Times New Roman"/>
                <w:sz w:val="24"/>
                <w:szCs w:val="24"/>
              </w:rPr>
              <w:t>. 2014. №4 (330). С. 1–2.</w:t>
            </w:r>
          </w:p>
          <w:p w:rsidR="000B49F3" w:rsidRPr="008E74DB" w:rsidRDefault="000B49F3" w:rsidP="008E74DB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E74DB">
              <w:rPr>
                <w:rFonts w:cs="Times New Roman"/>
                <w:sz w:val="24"/>
                <w:szCs w:val="24"/>
              </w:rPr>
              <w:t xml:space="preserve">Рубан В.В. Сучасні інструменти цифрового маркетингу. </w:t>
            </w:r>
            <w:r w:rsidRPr="008E74DB">
              <w:rPr>
                <w:rFonts w:cs="Times New Roman"/>
                <w:i/>
                <w:sz w:val="24"/>
                <w:szCs w:val="24"/>
              </w:rPr>
              <w:t>Науковий вісник Херсонського державного університету.</w:t>
            </w:r>
            <w:r w:rsidRPr="008E74DB">
              <w:rPr>
                <w:rFonts w:cs="Times New Roman"/>
                <w:sz w:val="24"/>
                <w:szCs w:val="24"/>
              </w:rPr>
              <w:t xml:space="preserve"> Вип. 30. 2018. С. 143 –146.</w:t>
            </w:r>
          </w:p>
          <w:p w:rsidR="000B49F3" w:rsidRPr="008E74DB" w:rsidRDefault="000B49F3" w:rsidP="008E74DB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E74DB">
              <w:rPr>
                <w:rFonts w:cs="Times New Roman"/>
                <w:sz w:val="24"/>
                <w:szCs w:val="24"/>
              </w:rPr>
              <w:t xml:space="preserve">Чирун Л.В., Висоцька В.А. Застосування контент-аналізу текстової інформації в системах електронної </w:t>
            </w:r>
            <w:r w:rsidRPr="008E74DB">
              <w:rPr>
                <w:rFonts w:cs="Times New Roman"/>
                <w:sz w:val="24"/>
                <w:szCs w:val="24"/>
              </w:rPr>
              <w:lastRenderedPageBreak/>
              <w:t xml:space="preserve">комерції. URL: http://ena.lp.edu.ua:8080/bitstream/ntb/20212/1/35-332-347.pdf (дата звернення: 13.04.2021). </w:t>
            </w:r>
          </w:p>
          <w:p w:rsidR="000B49F3" w:rsidRPr="008E74DB" w:rsidRDefault="000B49F3" w:rsidP="008E74DB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E74DB">
              <w:rPr>
                <w:rFonts w:cs="Times New Roman"/>
                <w:sz w:val="24"/>
                <w:szCs w:val="24"/>
              </w:rPr>
              <w:t>Advanced and Predictive Analytics Market Study Excerpt. August 31, 2017 Dresner Advisory Services. URL: https://www.tibco.com/sites/tibco/files/ resources/2017-advanced-and-predictive-excerpt-fortibco.pdf. (дата звернення: 13.04.2021)</w:t>
            </w:r>
          </w:p>
          <w:p w:rsidR="000B49F3" w:rsidRPr="008E74DB" w:rsidRDefault="000B49F3" w:rsidP="008E74DB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E74DB">
              <w:rPr>
                <w:rFonts w:cs="Times New Roman"/>
                <w:sz w:val="24"/>
                <w:szCs w:val="24"/>
              </w:rPr>
              <w:t>Business Intelligence – це Бізнес-Аналітика. URL: http://ukrarticles.pp.ua/biznes-i-finansy/19376business-intelligence-yeto-biznes-analitika.html. (дата звернення: 13.04.2021)</w:t>
            </w:r>
          </w:p>
          <w:p w:rsidR="000B49F3" w:rsidRPr="008E74DB" w:rsidRDefault="000B49F3" w:rsidP="008E74DB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E74DB">
              <w:rPr>
                <w:rFonts w:cs="Times New Roman"/>
                <w:sz w:val="24"/>
                <w:szCs w:val="24"/>
              </w:rPr>
              <w:t>IDC’s Worldwide Big Data and Analytics Software Taxonomy, 2017. Information International Data Corporation. 2017. March. URL:  https://www.idc. com/getdoc. jsp?containerId= US42353216. (дата звернення: 13.04.2021)</w:t>
            </w:r>
          </w:p>
          <w:p w:rsidR="000B49F3" w:rsidRPr="008E74DB" w:rsidRDefault="000B49F3" w:rsidP="008E74DB">
            <w:pPr>
              <w:pStyle w:val="a5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8E74DB">
              <w:rPr>
                <w:rFonts w:cs="Times New Roman"/>
                <w:sz w:val="24"/>
                <w:szCs w:val="24"/>
              </w:rPr>
              <w:t>Přikrylová D. Business Intelligence Models for Capturing and Analysis of Enterprise Marketing Data. Brno, 2016. URL: https://is.muni.cz/th/322817/fi_m/ thesis_prikrylova.pdf. (дата звернення: 13.04.2021)</w:t>
            </w:r>
          </w:p>
        </w:tc>
      </w:tr>
      <w:tr w:rsidR="000B49F3" w:rsidRPr="008E74DB" w:rsidTr="008E74DB">
        <w:tc>
          <w:tcPr>
            <w:tcW w:w="2972" w:type="dxa"/>
          </w:tcPr>
          <w:p w:rsidR="000B49F3" w:rsidRPr="008E74DB" w:rsidRDefault="000B49F3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Обсяг дисципліни (години) та види занять</w:t>
            </w:r>
          </w:p>
        </w:tc>
        <w:tc>
          <w:tcPr>
            <w:tcW w:w="6373" w:type="dxa"/>
          </w:tcPr>
          <w:p w:rsidR="000B49F3" w:rsidRPr="008E74DB" w:rsidRDefault="000B49F3" w:rsidP="008E7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заняття (24 год.), практичні заняття (24 год.), самостійна робота (72 год.)</w:t>
            </w:r>
          </w:p>
        </w:tc>
      </w:tr>
      <w:tr w:rsidR="000B49F3" w:rsidRPr="008E74DB" w:rsidTr="008E74DB">
        <w:tc>
          <w:tcPr>
            <w:tcW w:w="2972" w:type="dxa"/>
          </w:tcPr>
          <w:p w:rsidR="000B49F3" w:rsidRPr="008E74DB" w:rsidRDefault="000B49F3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 контроль</w:t>
            </w:r>
          </w:p>
        </w:tc>
        <w:tc>
          <w:tcPr>
            <w:tcW w:w="6373" w:type="dxa"/>
          </w:tcPr>
          <w:p w:rsidR="000B49F3" w:rsidRPr="008E74DB" w:rsidRDefault="000B49F3" w:rsidP="008E74DB">
            <w:pPr>
              <w:pStyle w:val="1"/>
              <w:tabs>
                <w:tab w:val="left" w:pos="9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 xml:space="preserve">Система оцінювання знань, вмінь та навичок здобувачів вищої освіти передбачає виставлення балів за усіма формами контролю. 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 xml:space="preserve">Перевірка та оцінювання знань буде проводитись у таких формах: 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 xml:space="preserve">1. Оцінювання роботи здобувачів у процесі практичних занять. 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2. Оцінювання самостійної та індивідуальної роботи.</w:t>
            </w:r>
          </w:p>
          <w:p w:rsidR="000B49F3" w:rsidRPr="008E74DB" w:rsidRDefault="000B49F3" w:rsidP="008E74DB">
            <w:pPr>
              <w:pStyle w:val="1"/>
              <w:tabs>
                <w:tab w:val="left" w:pos="9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3. Проведення модульного контролю.</w:t>
            </w:r>
          </w:p>
        </w:tc>
      </w:tr>
      <w:tr w:rsidR="000B49F3" w:rsidRPr="008E74DB" w:rsidTr="008E74DB">
        <w:tc>
          <w:tcPr>
            <w:tcW w:w="2972" w:type="dxa"/>
          </w:tcPr>
          <w:p w:rsidR="000B49F3" w:rsidRPr="008E74DB" w:rsidRDefault="000B49F3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Підсумковий контроль</w:t>
            </w:r>
          </w:p>
        </w:tc>
        <w:tc>
          <w:tcPr>
            <w:tcW w:w="6373" w:type="dxa"/>
          </w:tcPr>
          <w:p w:rsidR="000B49F3" w:rsidRPr="008E74DB" w:rsidRDefault="000B49F3" w:rsidP="008E74DB">
            <w:pPr>
              <w:pStyle w:val="1"/>
              <w:tabs>
                <w:tab w:val="left" w:pos="9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Залік</w:t>
            </w:r>
          </w:p>
        </w:tc>
      </w:tr>
      <w:tr w:rsidR="000B49F3" w:rsidRPr="008E74DB" w:rsidTr="008E74DB">
        <w:tc>
          <w:tcPr>
            <w:tcW w:w="2972" w:type="dxa"/>
          </w:tcPr>
          <w:p w:rsidR="000B49F3" w:rsidRPr="008E74DB" w:rsidRDefault="008E74DB" w:rsidP="008E74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74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Локація</w:t>
            </w:r>
          </w:p>
        </w:tc>
        <w:tc>
          <w:tcPr>
            <w:tcW w:w="6373" w:type="dxa"/>
          </w:tcPr>
          <w:p w:rsidR="000B49F3" w:rsidRPr="008E74DB" w:rsidRDefault="008E74DB" w:rsidP="008E74DB">
            <w:pPr>
              <w:pStyle w:val="1"/>
              <w:tabs>
                <w:tab w:val="left" w:pos="9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E74DB">
              <w:rPr>
                <w:sz w:val="24"/>
                <w:szCs w:val="24"/>
              </w:rPr>
              <w:t>Згідно з розкладом</w:t>
            </w:r>
          </w:p>
        </w:tc>
      </w:tr>
    </w:tbl>
    <w:p w:rsidR="00FE713A" w:rsidRPr="008E74DB" w:rsidRDefault="00FE713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E713A" w:rsidRPr="008E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E4B3D"/>
    <w:multiLevelType w:val="hybridMultilevel"/>
    <w:tmpl w:val="482AE1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48"/>
    <w:rsid w:val="000B49F3"/>
    <w:rsid w:val="00173B0E"/>
    <w:rsid w:val="001A3548"/>
    <w:rsid w:val="002E1527"/>
    <w:rsid w:val="003B08C2"/>
    <w:rsid w:val="008E74DB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4D5D"/>
  <w15:chartTrackingRefBased/>
  <w15:docId w15:val="{8F73C15E-0F93-4B09-B9B0-94466C87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1527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173B0E"/>
    <w:pPr>
      <w:widowControl w:val="0"/>
      <w:autoSpaceDE w:val="0"/>
      <w:autoSpaceDN w:val="0"/>
      <w:spacing w:after="0" w:line="240" w:lineRule="auto"/>
      <w:ind w:left="219" w:firstLine="706"/>
    </w:pPr>
    <w:rPr>
      <w:rFonts w:ascii="Times New Roman" w:eastAsia="Calibri" w:hAnsi="Times New Roman" w:cs="Times New Roman"/>
      <w:lang w:val="uk-UA"/>
    </w:rPr>
  </w:style>
  <w:style w:type="paragraph" w:customStyle="1" w:styleId="TableParagraph">
    <w:name w:val="Table Paragraph"/>
    <w:basedOn w:val="a"/>
    <w:rsid w:val="000B49F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paragraph" w:styleId="a5">
    <w:name w:val="List Paragraph"/>
    <w:basedOn w:val="a"/>
    <w:uiPriority w:val="34"/>
    <w:qFormat/>
    <w:rsid w:val="000B49F3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f-ep.kpnu.edu.ua/butorina-veronika-borysivn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torina@kpn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2021-08-31T18:55:00Z</dcterms:created>
  <dcterms:modified xsi:type="dcterms:W3CDTF">2021-08-31T19:39:00Z</dcterms:modified>
</cp:coreProperties>
</file>