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750" w:rsidRDefault="00D52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Кам’янець-Подільський національний університет імені Івана Огієнка</w:t>
      </w:r>
    </w:p>
    <w:p w:rsidR="00AF1750" w:rsidRDefault="00D52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Педагогічний факультет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Кафедра музичного мистецтва</w:t>
      </w:r>
    </w:p>
    <w:p w:rsidR="00AF1750" w:rsidRDefault="00D5217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ПРАКТИКУМ РОБОТИ ЗІ ШКІЛЬНИМИ ВОКАЛЬНИМИ ТА НАРОДНО-ІНСТРУМЕНТАЛЬНИМИ КОЛЕКТИВАМИ</w:t>
      </w:r>
    </w:p>
    <w:p w:rsidR="00AF1750" w:rsidRDefault="00AF1750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750" w:rsidRDefault="00D52171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2C2B2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B2B"/>
          <w:sz w:val="24"/>
          <w:szCs w:val="24"/>
        </w:rPr>
        <w:t>Загальна інформація про навчальну дисципліну)</w:t>
      </w:r>
    </w:p>
    <w:tbl>
      <w:tblPr>
        <w:tblStyle w:val="a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515"/>
      </w:tblGrid>
      <w:tr w:rsidR="00AF1750">
        <w:tc>
          <w:tcPr>
            <w:tcW w:w="3261" w:type="dxa"/>
          </w:tcPr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Назва навчальної дисципліни </w:t>
            </w:r>
          </w:p>
        </w:tc>
        <w:tc>
          <w:tcPr>
            <w:tcW w:w="6515" w:type="dxa"/>
          </w:tcPr>
          <w:p w:rsidR="00AF1750" w:rsidRDefault="00D52171">
            <w:pPr>
              <w:tabs>
                <w:tab w:val="left" w:pos="510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ПРАКТИКУМ РОБОТИ ЗІ ШКІЛЬНИМИ ВОКАЛЬНИМИ ТА НАРОДНО-ІНСТРУМЕНТАЛЬНИМИ КОЛЕКТИВАМИ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Шифр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ООК-08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Викладач</w:t>
            </w:r>
          </w:p>
        </w:tc>
        <w:tc>
          <w:tcPr>
            <w:tcW w:w="6515" w:type="dxa"/>
          </w:tcPr>
          <w:p w:rsidR="00AF1750" w:rsidRDefault="0086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Чабан</w:t>
            </w:r>
            <w:r w:rsidR="007304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-Чайка С.В.</w:t>
            </w:r>
            <w:r w:rsidR="00D5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кандидат педагогічних наук, доцент; </w:t>
            </w:r>
            <w:r w:rsidR="00D521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Мартинюк Любов Василівна, </w:t>
            </w:r>
            <w:r w:rsidR="00D52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педагогічних наук, доцент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Профайл викладачів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https://kaf-music.kpnu.edu.ua/marynin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E-mail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mаrynin290161@kpnu.edu.ua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Cторінка навчальної дисципліни в MOODLE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https://moodle.kpnu.edu.ua/enrol/index.php?id=436</w:t>
              </w:r>
            </w:hyperlink>
          </w:p>
        </w:tc>
      </w:tr>
      <w:tr w:rsidR="00AF1750">
        <w:tc>
          <w:tcPr>
            <w:tcW w:w="3261" w:type="dxa"/>
          </w:tcPr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Консультації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Щоп’ятниці о 12.30 год.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Денна форма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Освітній рівень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Другий магістерський рівень освіти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освіти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О1 Освіта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Середня освіта (Музичне мистецтво)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 дисципліни (нормативна / вибіркова)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Рік навчання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Перший / 2021-2022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 вивчення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  <w:t>І, ІІ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занять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кредитів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ЄКТС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кредитів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ЄКТС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Загальний обсяг годин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 год.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год.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Лекційні заняття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 заняття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год.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Семінарські заняття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Лабораторні заняття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Самостійна робота та індивідуальна робота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 год.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Залік (1);</w:t>
            </w:r>
          </w:p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Екзамен (5).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Анотація дисципліни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Навчальна дисципліна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«Практикум роботи зі шкільними вокальними та народно-інструментальними колективами»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складовою частиною спеціальних дисциплін вокально-хорової та інструментальн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о-виконавської підготовки, що формують професійні, світоглядні, естетичні погляди, виконавську майстерність студентів та забезпечують підготовку майбутнього вчителя музичного мистецтва до керівництва шкільними вокальними та народно-інструментальними колект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ивами.  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515" w:type="dxa"/>
          </w:tcPr>
          <w:p w:rsidR="00AF1750" w:rsidRDefault="00D5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Метою навчальної дисципліни професійної підготовки «Практикум роботи зі шкільними вокальними та народно-інструментальними колективами» 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студентів до організації та здійснення вокально-хорової та інструментально-виконавської діяльності  в умовах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позакласної та позашкільної роботи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Завдання навчальної дисципліни</w:t>
            </w:r>
          </w:p>
        </w:tc>
        <w:tc>
          <w:tcPr>
            <w:tcW w:w="6515" w:type="dxa"/>
          </w:tcPr>
          <w:p w:rsidR="00AF1750" w:rsidRDefault="00D52171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 у студенів професійних умінь та навичок колективного виконавства;</w:t>
            </w:r>
          </w:p>
          <w:p w:rsidR="00AF1750" w:rsidRDefault="00D52171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оволодіння системою пізнавально-технологічної і художньо-творчої діяльності студентів у процесі роботи над музи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чним твором, реалізації його художнього потенціалу;</w:t>
            </w:r>
          </w:p>
          <w:p w:rsidR="00AF1750" w:rsidRDefault="00D52171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284"/>
              <w:jc w:val="both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формування у студентів інтересу, потребу та установку на музично-педагогічну діяльність керівника шкільного вокального та народно-інструментального колективів.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 навчальної дисципліни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враховує набуті студентами знання з історії музики, гри на народних інструментах, основного музичного інструмента, додаткового музичного інструмента, постановки голосу, хорового класу, хорового диригування.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ічне і програмне забезпечення</w:t>
            </w:r>
          </w:p>
        </w:tc>
        <w:tc>
          <w:tcPr>
            <w:tcW w:w="6515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Народні музичні інструменти.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Політика навчальної дисципліни</w:t>
            </w:r>
          </w:p>
        </w:tc>
        <w:tc>
          <w:tcPr>
            <w:tcW w:w="6515" w:type="dxa"/>
          </w:tcPr>
          <w:p w:rsidR="00AF1750" w:rsidRDefault="00D52171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позитивне налаштування на творчу атмосферу та ефективну роботу над вдосконаленням виконавської майстерності студентів в оркестровому класі;</w:t>
            </w:r>
          </w:p>
          <w:p w:rsidR="00AF1750" w:rsidRDefault="00D52171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 студентами 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мінів виконання усіх видів робіт, передбачених робочою програмою навчальної дисципліни;</w:t>
            </w:r>
          </w:p>
          <w:p w:rsidR="00AF1750" w:rsidRDefault="00D52171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поведінка студентів в аудиторії має відповідати встановленим в університеті правилам</w:t>
            </w:r>
            <w:r>
              <w:rPr>
                <w:rFonts w:ascii="Times New Roman" w:eastAsia="Times New Roman" w:hAnsi="Times New Roman" w:cs="Times New Roman"/>
                <w:color w:val="000000"/>
                <w:sz w:val="42"/>
                <w:szCs w:val="42"/>
              </w:rPr>
              <w:t>.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навчання.</w:t>
            </w:r>
          </w:p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Знати:</w:t>
            </w:r>
          </w:p>
        </w:tc>
        <w:tc>
          <w:tcPr>
            <w:tcW w:w="6515" w:type="dxa"/>
          </w:tcPr>
          <w:p w:rsidR="00AF1750" w:rsidRDefault="00AF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1750" w:rsidRDefault="00D5217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музичний інструментарій, його будову, стрій, діапазон та його функціональні можливості в оркестровому виконавстві;</w:t>
            </w:r>
          </w:p>
          <w:p w:rsidR="00AF1750" w:rsidRDefault="00D5217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особливості голосового апарату, його будову, діапазон та функціональні можливості у хоровому виконавстві;</w:t>
            </w:r>
          </w:p>
          <w:p w:rsidR="00AF1750" w:rsidRDefault="00D5217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організаційні, психологічні та музи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чно-педагогічні основи роботи вчителя музичного мистецтва – керівника шкільного вокально-хорового та народно-інструментального колективів.</w:t>
            </w:r>
          </w:p>
          <w:p w:rsidR="00AF1750" w:rsidRDefault="00AF1750">
            <w:pPr>
              <w:tabs>
                <w:tab w:val="left" w:pos="175"/>
                <w:tab w:val="left" w:pos="8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Вміти:</w:t>
            </w:r>
          </w:p>
        </w:tc>
        <w:tc>
          <w:tcPr>
            <w:tcW w:w="6515" w:type="dxa"/>
          </w:tcPr>
          <w:p w:rsidR="00AF1750" w:rsidRDefault="00D52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реалізувати власний творчо-художній потенціал в роботі над музичним твором у студентському хоровому та оркестровому колективах;</w:t>
            </w:r>
          </w:p>
          <w:p w:rsidR="00AF1750" w:rsidRDefault="00D52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раціонально об’єднувати і підпорядковувати індивідуальну гру та спів колективному виконавству;</w:t>
            </w:r>
          </w:p>
          <w:p w:rsidR="00AF1750" w:rsidRDefault="00D521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визначати конкретні напрями в узг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оджені виконавських операцій щодо відтворення загально-технічних та художніх аспектів вокального та оркестрового виконавства.</w:t>
            </w:r>
          </w:p>
          <w:p w:rsidR="00AF1750" w:rsidRDefault="00AF175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inherit" w:hAnsi="inherit" w:cs="inherit"/>
                <w:color w:val="222222"/>
                <w:sz w:val="24"/>
                <w:szCs w:val="24"/>
              </w:rPr>
            </w:pP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Компетентності</w:t>
            </w:r>
          </w:p>
        </w:tc>
        <w:tc>
          <w:tcPr>
            <w:tcW w:w="6515" w:type="dxa"/>
          </w:tcPr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ascii="inherit" w:eastAsia="inherit" w:hAnsi="inherit" w:cs="inherit"/>
                <w:b/>
                <w:color w:val="222222"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color w:val="222222"/>
                <w:sz w:val="24"/>
                <w:szCs w:val="24"/>
              </w:rPr>
              <w:t>інтегральні:</w:t>
            </w:r>
          </w:p>
          <w:p w:rsidR="00AF1750" w:rsidRDefault="00D521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самостійно інтегрувати набуті знання музично-історичного змісту та музично-теоретичного змісту в музично-педагогічній діяльності вчителя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музичного мистецтва 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керівника шкільного вокального 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народно-інструментального колектив</w:t>
            </w:r>
            <w:r>
              <w:rPr>
                <w:color w:val="000000"/>
                <w:sz w:val="24"/>
                <w:szCs w:val="24"/>
              </w:rPr>
              <w:t>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1750" w:rsidRDefault="00D5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"/>
              </w:tabs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загальні:</w:t>
            </w:r>
          </w:p>
          <w:p w:rsidR="00AF1750" w:rsidRDefault="00D5217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"/>
              </w:tabs>
              <w:spacing w:line="322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досконало володіти українською мовою та понятійним апаратом з метою використання у професійній діяльності;</w:t>
            </w:r>
          </w:p>
          <w:p w:rsidR="00AF1750" w:rsidRDefault="00D521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творчо і критично мислити;</w:t>
            </w:r>
          </w:p>
          <w:p w:rsidR="00AF1750" w:rsidRDefault="00D5217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6"/>
              </w:tabs>
              <w:spacing w:line="32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осягнути духовні культурно-історичні цінності України та усвідомити їх місце в системі світо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вої культури;</w:t>
            </w:r>
          </w:p>
          <w:p w:rsidR="00AF1750" w:rsidRDefault="00D521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спеціальні (фахові, предметні):</w:t>
            </w:r>
          </w:p>
          <w:p w:rsidR="00AF1750" w:rsidRDefault="00D521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володіння понятійним апаратом та музичною термінологією;</w:t>
            </w:r>
          </w:p>
          <w:p w:rsidR="00AF1750" w:rsidRDefault="00D521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реалізувати вокальні та інструментальні музично-виконавських уміння й навички колективного виконавства у професійній діяльності;</w:t>
            </w:r>
          </w:p>
          <w:p w:rsidR="00AF1750" w:rsidRDefault="00D521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управляти музично-педагогічним процесом вивчення та виконанням музичних творів шкільним вокальним та народн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о-інструментальним колективами;</w:t>
            </w:r>
          </w:p>
          <w:p w:rsidR="00AF1750" w:rsidRDefault="00D5217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373A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готовність до концертних виступів у шкільних творчих колективах.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Теми занять</w:t>
            </w:r>
          </w:p>
        </w:tc>
        <w:tc>
          <w:tcPr>
            <w:tcW w:w="6515" w:type="dxa"/>
          </w:tcPr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Змістовий модуль 1. Колективне професійно-художнє виконання оркестрових творів</w:t>
            </w:r>
          </w:p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Зміст та завдання змістового модуля «Практикум роботи зі шкільними вокальними та народно-інструментальними колективами» в структурі підготовки вчителя музичного мистецтв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до професійної діяльності</w:t>
            </w:r>
          </w:p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Вивчення класичних творів вітчизняних та зарубіжних композиторів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Вивчення оригінального твору, обробки, варіацій або естрадно-джазової композиції.</w:t>
            </w:r>
          </w:p>
          <w:p w:rsidR="00AF1750" w:rsidRDefault="00D52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Вивчення твору великої  форми. 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 навчання</w:t>
            </w:r>
          </w:p>
        </w:tc>
        <w:tc>
          <w:tcPr>
            <w:tcW w:w="6515" w:type="dxa"/>
          </w:tcPr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inherit" w:hAnsi="inherit" w:cs="inherit"/>
                <w:color w:val="222222"/>
                <w:sz w:val="24"/>
                <w:szCs w:val="24"/>
              </w:rPr>
            </w:pPr>
            <w:r>
              <w:rPr>
                <w:rFonts w:ascii="inherit" w:eastAsia="inherit" w:hAnsi="inherit" w:cs="inherit"/>
                <w:color w:val="222222"/>
                <w:sz w:val="24"/>
                <w:szCs w:val="24"/>
              </w:rPr>
              <w:t>Розповідь, власний показ, демонстрація гри на інструментах.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 перевірки результатів навчання</w:t>
            </w:r>
          </w:p>
        </w:tc>
        <w:tc>
          <w:tcPr>
            <w:tcW w:w="6515" w:type="dxa"/>
          </w:tcPr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inherit" w:hAnsi="inherit" w:cs="inherit"/>
                <w:color w:val="222222"/>
                <w:sz w:val="24"/>
                <w:szCs w:val="24"/>
              </w:rPr>
            </w:pPr>
            <w:r>
              <w:rPr>
                <w:rFonts w:ascii="inherit" w:eastAsia="inherit" w:hAnsi="inherit" w:cs="inherit"/>
                <w:color w:val="222222"/>
                <w:sz w:val="24"/>
                <w:szCs w:val="24"/>
              </w:rPr>
              <w:t>Практичні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оцінювання</w:t>
            </w:r>
          </w:p>
        </w:tc>
        <w:tc>
          <w:tcPr>
            <w:tcW w:w="6515" w:type="dxa"/>
          </w:tcPr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Залік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inherit" w:hAnsi="inherit" w:cs="inherit"/>
                <w:b/>
                <w:color w:val="222222"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color w:val="222222"/>
                <w:sz w:val="24"/>
                <w:szCs w:val="24"/>
              </w:rPr>
              <w:t>Умови оцінювання</w:t>
            </w:r>
          </w:p>
          <w:p w:rsidR="00AF1750" w:rsidRDefault="00AF17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inherit" w:hAnsi="inherit" w:cs="inherit"/>
                <w:color w:val="222222"/>
                <w:sz w:val="24"/>
                <w:szCs w:val="24"/>
              </w:rPr>
            </w:pPr>
            <w:r>
              <w:rPr>
                <w:rFonts w:ascii="inherit" w:eastAsia="inherit" w:hAnsi="inherit" w:cs="inherit"/>
                <w:color w:val="222222"/>
                <w:sz w:val="24"/>
                <w:szCs w:val="24"/>
              </w:rPr>
              <w:t>Виконання практичних завдань в кінці 1 і 1 семестрів (згідно робочої програми)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inherit" w:hAnsi="inherit" w:cs="inherit"/>
                <w:b/>
                <w:color w:val="222222"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color w:val="222222"/>
                <w:sz w:val="24"/>
                <w:szCs w:val="24"/>
              </w:rPr>
              <w:t>Оцінювання (он-лайн/очно (е-портфоліо)</w:t>
            </w:r>
          </w:p>
        </w:tc>
        <w:tc>
          <w:tcPr>
            <w:tcW w:w="6515" w:type="dxa"/>
          </w:tcPr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inherit" w:hAnsi="inherit" w:cs="inherit"/>
                <w:color w:val="222222"/>
                <w:sz w:val="24"/>
                <w:szCs w:val="24"/>
              </w:rPr>
            </w:pPr>
            <w:r>
              <w:rPr>
                <w:rFonts w:ascii="inherit" w:eastAsia="inherit" w:hAnsi="inherit" w:cs="inherit"/>
                <w:color w:val="222222"/>
                <w:sz w:val="24"/>
                <w:szCs w:val="24"/>
              </w:rPr>
              <w:t>очно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inherit" w:hAnsi="inherit" w:cs="inherit"/>
                <w:b/>
                <w:color w:val="222222"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color w:val="222222"/>
                <w:sz w:val="24"/>
                <w:szCs w:val="24"/>
              </w:rPr>
              <w:t>Критерії оцінювання</w:t>
            </w:r>
          </w:p>
        </w:tc>
        <w:tc>
          <w:tcPr>
            <w:tcW w:w="6515" w:type="dxa"/>
          </w:tcPr>
          <w:p w:rsidR="00AF1750" w:rsidRDefault="00D5217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Основними критеріями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сформованості в студентів художньо-виконавських вмінь та навичок колективного виконавства є:</w:t>
            </w:r>
          </w:p>
          <w:p w:rsidR="00AF1750" w:rsidRDefault="00D5217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якість і точність відтворення нотного тексту; прийомів звуковидобування й аплікатури; штрихів та артикуляції; темпоритму; динамічної шкали твору; </w:t>
            </w:r>
          </w:p>
          <w:p w:rsidR="00AF1750" w:rsidRDefault="00D5217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художньо-емоційного відчуття та ансамблевої злагодженості.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inherit" w:hAnsi="inherit" w:cs="inherit"/>
                <w:b/>
                <w:color w:val="222222"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color w:val="222222"/>
                <w:sz w:val="24"/>
                <w:szCs w:val="24"/>
              </w:rPr>
              <w:lastRenderedPageBreak/>
              <w:t>Розподіл балів, що отримують студен</w:t>
            </w:r>
            <w:r>
              <w:rPr>
                <w:rFonts w:ascii="inherit" w:eastAsia="inherit" w:hAnsi="inherit" w:cs="inherit"/>
                <w:b/>
                <w:color w:val="222222"/>
                <w:sz w:val="24"/>
                <w:szCs w:val="24"/>
              </w:rPr>
              <w:t>ти</w:t>
            </w:r>
          </w:p>
        </w:tc>
        <w:tc>
          <w:tcPr>
            <w:tcW w:w="6515" w:type="dxa"/>
          </w:tcPr>
          <w:p w:rsidR="00AF1750" w:rsidRDefault="00AF175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inherit" w:eastAsia="inherit" w:hAnsi="inherit" w:cs="inherit"/>
                <w:color w:val="222222"/>
                <w:sz w:val="24"/>
                <w:szCs w:val="24"/>
              </w:rPr>
            </w:pPr>
          </w:p>
          <w:tbl>
            <w:tblPr>
              <w:tblStyle w:val="ab"/>
              <w:tblW w:w="582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1070"/>
              <w:gridCol w:w="2378"/>
              <w:gridCol w:w="1304"/>
            </w:tblGrid>
            <w:tr w:rsidR="00AF1750">
              <w:tc>
                <w:tcPr>
                  <w:tcW w:w="45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750" w:rsidRDefault="00D52171">
                  <w:pPr>
                    <w:widowControl w:val="0"/>
                    <w:spacing w:line="254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Поточний і модульний контроль (100 балів)</w:t>
                  </w:r>
                </w:p>
              </w:tc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750" w:rsidRDefault="00D52171">
                  <w:pPr>
                    <w:widowControl w:val="0"/>
                    <w:spacing w:line="254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Сума</w:t>
                  </w:r>
                </w:p>
              </w:tc>
            </w:tr>
            <w:tr w:rsidR="00AF1750">
              <w:tc>
                <w:tcPr>
                  <w:tcW w:w="45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750" w:rsidRDefault="00D52171">
                  <w:pPr>
                    <w:widowControl w:val="0"/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Змістовий модуль 1 (100 балів)</w:t>
                  </w:r>
                </w:p>
              </w:tc>
              <w:tc>
                <w:tcPr>
                  <w:tcW w:w="13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750" w:rsidRDefault="00AF17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  <w:p w:rsidR="00AF1750" w:rsidRDefault="00D521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100</w:t>
                  </w:r>
                </w:p>
                <w:p w:rsidR="00AF1750" w:rsidRDefault="00AF17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  <w:p w:rsidR="00AF1750" w:rsidRDefault="00D5217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Залік</w:t>
                  </w:r>
                </w:p>
              </w:tc>
            </w:tr>
            <w:tr w:rsidR="00AF1750"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750" w:rsidRDefault="00D52171">
                  <w:pPr>
                    <w:widowControl w:val="0"/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Поточний контроль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750" w:rsidRDefault="00D52171">
                  <w:pPr>
                    <w:widowControl w:val="0"/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МКР</w:t>
                  </w:r>
                </w:p>
                <w:p w:rsidR="00AF1750" w:rsidRDefault="00AF1750">
                  <w:pPr>
                    <w:widowControl w:val="0"/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750" w:rsidRDefault="00D52171">
                  <w:pPr>
                    <w:widowControl w:val="0"/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Самостійна тробота</w:t>
                  </w:r>
                </w:p>
                <w:p w:rsidR="00AF1750" w:rsidRDefault="00AF1750">
                  <w:pPr>
                    <w:widowControl w:val="0"/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750" w:rsidRDefault="00AF17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F1750"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750" w:rsidRDefault="00D52171">
                  <w:pPr>
                    <w:widowControl w:val="0"/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 балів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750" w:rsidRDefault="00D52171">
                  <w:pPr>
                    <w:widowControl w:val="0"/>
                    <w:spacing w:line="25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 балів</w:t>
                  </w:r>
                </w:p>
              </w:tc>
              <w:tc>
                <w:tcPr>
                  <w:tcW w:w="2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750" w:rsidRDefault="00D52171">
                  <w:pPr>
                    <w:widowControl w:val="0"/>
                    <w:spacing w:line="254" w:lineRule="auto"/>
                    <w:ind w:left="7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балів</w:t>
                  </w:r>
                </w:p>
              </w:tc>
              <w:tc>
                <w:tcPr>
                  <w:tcW w:w="13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1750" w:rsidRDefault="00AF17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F1750" w:rsidRDefault="00AF175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inherit" w:eastAsia="inherit" w:hAnsi="inherit" w:cs="inherit"/>
                <w:color w:val="222222"/>
                <w:sz w:val="24"/>
                <w:szCs w:val="24"/>
              </w:rPr>
            </w:pPr>
          </w:p>
        </w:tc>
      </w:tr>
      <w:tr w:rsidR="00AF1750">
        <w:tc>
          <w:tcPr>
            <w:tcW w:w="3261" w:type="dxa"/>
          </w:tcPr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inherit" w:hAnsi="inherit" w:cs="inherit"/>
                <w:b/>
                <w:color w:val="222222"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color w:val="222222"/>
                <w:sz w:val="24"/>
                <w:szCs w:val="24"/>
              </w:rPr>
              <w:t>Перспектива професійного розвитку (кар’єри)</w:t>
            </w:r>
          </w:p>
        </w:tc>
        <w:tc>
          <w:tcPr>
            <w:tcW w:w="6515" w:type="dxa"/>
          </w:tcPr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inherit" w:hAnsi="inherit" w:cs="inherit"/>
                <w:color w:val="222222"/>
                <w:sz w:val="24"/>
                <w:szCs w:val="24"/>
              </w:rPr>
            </w:pPr>
            <w:r>
              <w:rPr>
                <w:rFonts w:ascii="inherit" w:eastAsia="inherit" w:hAnsi="inherit" w:cs="inherit"/>
                <w:color w:val="222222"/>
                <w:sz w:val="24"/>
                <w:szCs w:val="24"/>
              </w:rPr>
              <w:t>Після закінчення навчання курсу випускник здатний до керівництва шкільними вокальними та народно-інструментальними колективами в умовах позакласної роботи.</w:t>
            </w:r>
          </w:p>
        </w:tc>
      </w:tr>
      <w:tr w:rsidR="00AF1750">
        <w:tc>
          <w:tcPr>
            <w:tcW w:w="3261" w:type="dxa"/>
          </w:tcPr>
          <w:p w:rsidR="00AF1750" w:rsidRDefault="00D5217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inherit" w:hAnsi="inherit" w:cs="inherit"/>
                <w:b/>
                <w:color w:val="222222"/>
                <w:sz w:val="24"/>
                <w:szCs w:val="24"/>
              </w:rPr>
            </w:pPr>
            <w:r>
              <w:rPr>
                <w:rFonts w:ascii="inherit" w:eastAsia="inherit" w:hAnsi="inherit" w:cs="inherit"/>
                <w:b/>
                <w:color w:val="222222"/>
                <w:sz w:val="24"/>
                <w:szCs w:val="24"/>
              </w:rPr>
              <w:t>Література</w:t>
            </w:r>
          </w:p>
        </w:tc>
        <w:tc>
          <w:tcPr>
            <w:tcW w:w="6515" w:type="dxa"/>
          </w:tcPr>
          <w:p w:rsidR="00AF1750" w:rsidRDefault="00D5217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Гуцал В. Грає оркестр українських народних інструментів. // Бібліотечка художньої самоді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яльності «РАЙДУГА», № 11               Київ : Мистецтво, 1978.  С. 5–50.</w:t>
            </w:r>
          </w:p>
          <w:p w:rsidR="00AF1750" w:rsidRDefault="00D5217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Гуцал В. Грає оркестр українських народних музичних інструментів. Київ., 1978.  168 с.</w:t>
            </w:r>
          </w:p>
          <w:p w:rsidR="00AF1750" w:rsidRDefault="00D5217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Маринін І.Г. Вибрані твори для оркестру народних інструментів: Репертуарно-методичний посібник.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Кам’янець-Подільський: Аксіома, 2006. 136 с.</w:t>
            </w:r>
          </w:p>
          <w:p w:rsidR="00AF1750" w:rsidRDefault="00D5217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Дем’янчук В. Теорія та практика роботи з дитячим вокальним ансамблем. Тернопіль, 2001. 48 с.</w:t>
            </w:r>
          </w:p>
          <w:p w:rsidR="00AF1750" w:rsidRDefault="00D5217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Маринін І.Г. Вибрані твори для оркестру народних інструментів: репертуарно-метод. посібник. Кам’янець-Подільський : Видавець Волощук В.О., 2014. Вип. ІІ. 166 с.</w:t>
            </w:r>
          </w:p>
          <w:p w:rsidR="00AF1750" w:rsidRDefault="00D5217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Маринін І.Г. Вибрані твори для оркестру народних інструментів: репертуарно-метод. посібник. 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’янець-Подільський : Видавець Волощук В.О., 2016. Вип. ІІІ. 198 с.</w:t>
            </w:r>
          </w:p>
          <w:p w:rsidR="00AF1750" w:rsidRDefault="00D5217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Маринін І.Г., Олійник В.Ф. Народно-інструментальне мистецтво Південно-Західного Поділля: ансамбль троїстих музик Олексія Беца: монографія. Кам’янець-Подільский: видавець Зволейко Д.Г. 2011.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320 с.</w:t>
            </w:r>
          </w:p>
          <w:p w:rsidR="00AF1750" w:rsidRDefault="00D5217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Мартинюк Л.В. Методичні рекомендації до практичних занять з курсу «Хоровий клас та практикум роботи з хором» // Навчально-методичний посібник / Мартинюк Любов Василівна. – Кам’янець-Подільський : ФОП Сисин О.В., 2014. – 60 с.</w:t>
            </w:r>
          </w:p>
          <w:p w:rsidR="00AF1750" w:rsidRDefault="00D52171">
            <w:pPr>
              <w:numPr>
                <w:ilvl w:val="0"/>
                <w:numId w:val="4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Мархлевський А.Ц. 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актичнi основи роботи в хоровому класi. Київ : Музична Україна, 1986. 96 с</w:t>
            </w:r>
            <w:r>
              <w:t>.</w:t>
            </w:r>
          </w:p>
          <w:p w:rsidR="00AF1750" w:rsidRDefault="00D5217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Пасічняк Л. Особливості формування репертуарних тенденцій академічних народно-інструментальних ансамблів. // Феномен школи в музично-виконавському мистецтві: тези міжн. конф. (22-2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березня 2005 р., Київ). Київ, Нац.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муз. акад. України ім. П.І. Чайковського, 2005. С. 63-65.</w:t>
            </w:r>
          </w:p>
          <w:p w:rsidR="00AF1750" w:rsidRDefault="00D5217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Трофимчук О. Український оркестр народних інструментів: метаморфози жанру. // Народна музика. 2005. № 1. С. 2-5.</w:t>
            </w:r>
          </w:p>
          <w:p w:rsidR="00AF1750" w:rsidRDefault="00D5217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Трофимчук О. Темброва еволюція в українській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одно-оркестровій музиці: дис. …канд. мист-ва: спец. 17.00.03. Київ, 2007.  200 с.</w:t>
            </w:r>
          </w:p>
        </w:tc>
      </w:tr>
    </w:tbl>
    <w:p w:rsidR="00AF1750" w:rsidRDefault="00AF1750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750" w:rsidRDefault="00AF1750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750" w:rsidRDefault="00AF1750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F175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04B"/>
    <w:multiLevelType w:val="multilevel"/>
    <w:tmpl w:val="FFFFFFFF"/>
    <w:lvl w:ilvl="0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C08070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7A704C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3"/>
      <w:numFmt w:val="decimal"/>
      <w:lvlText w:val="%3"/>
      <w:lvlJc w:val="left"/>
      <w:pPr>
        <w:ind w:left="212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F04B07"/>
    <w:multiLevelType w:val="multilevel"/>
    <w:tmpl w:val="FFFFFFFF"/>
    <w:lvl w:ilvl="0">
      <w:start w:val="1"/>
      <w:numFmt w:val="bullet"/>
      <w:lvlText w:val="-"/>
      <w:lvlJc w:val="left"/>
      <w:pPr>
        <w:ind w:left="975" w:hanging="6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5453A13"/>
    <w:multiLevelType w:val="multilevel"/>
    <w:tmpl w:val="FFFFFFFF"/>
    <w:lvl w:ilvl="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5E6A2E"/>
    <w:multiLevelType w:val="multilevel"/>
    <w:tmpl w:val="FFFFFFFF"/>
    <w:lvl w:ilvl="0">
      <w:start w:val="1"/>
      <w:numFmt w:val="decimal"/>
      <w:lvlText w:val="%1."/>
      <w:lvlJc w:val="left"/>
      <w:pPr>
        <w:ind w:left="1347" w:hanging="360"/>
      </w:pPr>
    </w:lvl>
    <w:lvl w:ilvl="1">
      <w:start w:val="1"/>
      <w:numFmt w:val="lowerLetter"/>
      <w:lvlText w:val="%2."/>
      <w:lvlJc w:val="left"/>
      <w:pPr>
        <w:ind w:left="2067" w:hanging="360"/>
      </w:pPr>
    </w:lvl>
    <w:lvl w:ilvl="2">
      <w:start w:val="1"/>
      <w:numFmt w:val="lowerRoman"/>
      <w:lvlText w:val="%3."/>
      <w:lvlJc w:val="right"/>
      <w:pPr>
        <w:ind w:left="2787" w:hanging="180"/>
      </w:pPr>
    </w:lvl>
    <w:lvl w:ilvl="3">
      <w:start w:val="1"/>
      <w:numFmt w:val="decimal"/>
      <w:lvlText w:val="%4."/>
      <w:lvlJc w:val="left"/>
      <w:pPr>
        <w:ind w:left="3507" w:hanging="360"/>
      </w:pPr>
    </w:lvl>
    <w:lvl w:ilvl="4">
      <w:start w:val="1"/>
      <w:numFmt w:val="lowerLetter"/>
      <w:lvlText w:val="%5."/>
      <w:lvlJc w:val="left"/>
      <w:pPr>
        <w:ind w:left="4227" w:hanging="360"/>
      </w:pPr>
    </w:lvl>
    <w:lvl w:ilvl="5">
      <w:start w:val="1"/>
      <w:numFmt w:val="lowerRoman"/>
      <w:lvlText w:val="%6."/>
      <w:lvlJc w:val="right"/>
      <w:pPr>
        <w:ind w:left="4947" w:hanging="180"/>
      </w:pPr>
    </w:lvl>
    <w:lvl w:ilvl="6">
      <w:start w:val="1"/>
      <w:numFmt w:val="decimal"/>
      <w:lvlText w:val="%7."/>
      <w:lvlJc w:val="left"/>
      <w:pPr>
        <w:ind w:left="5667" w:hanging="360"/>
      </w:pPr>
    </w:lvl>
    <w:lvl w:ilvl="7">
      <w:start w:val="1"/>
      <w:numFmt w:val="lowerLetter"/>
      <w:lvlText w:val="%8."/>
      <w:lvlJc w:val="left"/>
      <w:pPr>
        <w:ind w:left="6387" w:hanging="360"/>
      </w:pPr>
    </w:lvl>
    <w:lvl w:ilvl="8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6A16168B"/>
    <w:multiLevelType w:val="multilevel"/>
    <w:tmpl w:val="FFFFFFFF"/>
    <w:lvl w:ilvl="0">
      <w:start w:val="1"/>
      <w:numFmt w:val="bullet"/>
      <w:lvlText w:val="-"/>
      <w:lvlJc w:val="left"/>
      <w:pPr>
        <w:ind w:left="199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27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7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50"/>
    <w:rsid w:val="00730427"/>
    <w:rsid w:val="00866EAF"/>
    <w:rsid w:val="00AF1750"/>
    <w:rsid w:val="00C50CC1"/>
    <w:rsid w:val="00D5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5C2F2"/>
  <w15:docId w15:val="{07078230-F4FE-DF42-BF45-381CA435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4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643BFD"/>
    <w:rPr>
      <w:color w:val="000080"/>
      <w:u w:val="single"/>
    </w:rPr>
  </w:style>
  <w:style w:type="paragraph" w:styleId="a6">
    <w:name w:val="List Paragraph"/>
    <w:basedOn w:val="a"/>
    <w:uiPriority w:val="99"/>
    <w:qFormat/>
    <w:rsid w:val="00643BFD"/>
    <w:pPr>
      <w:suppressAutoHyphens/>
      <w:spacing w:after="0" w:line="240" w:lineRule="auto"/>
      <w:ind w:left="720"/>
      <w:jc w:val="center"/>
    </w:pPr>
    <w:rPr>
      <w:rFonts w:ascii="Tms Rmn" w:eastAsia="Times New Roman" w:hAnsi="Tms Rmn" w:cs="Tms Rmn"/>
      <w:sz w:val="42"/>
      <w:szCs w:val="20"/>
      <w:lang w:val="en-US" w:eastAsia="zh-CN"/>
    </w:rPr>
  </w:style>
  <w:style w:type="paragraph" w:styleId="a7">
    <w:name w:val="Normal (Web)"/>
    <w:basedOn w:val="a"/>
    <w:uiPriority w:val="99"/>
    <w:rsid w:val="00643B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0">
    <w:name w:val="Основной текст3"/>
    <w:basedOn w:val="a"/>
    <w:rsid w:val="00643BFD"/>
    <w:pPr>
      <w:widowControl w:val="0"/>
      <w:suppressAutoHyphens/>
      <w:autoSpaceDN w:val="0"/>
      <w:spacing w:after="0" w:line="322" w:lineRule="exact"/>
      <w:ind w:hanging="2040"/>
      <w:textAlignment w:val="baseline"/>
    </w:pPr>
    <w:rPr>
      <w:rFonts w:ascii="Times New Roman" w:eastAsia="Andale Sans UI" w:hAnsi="Times New Roman" w:cs="Tahoma"/>
      <w:b/>
      <w:bCs/>
      <w:spacing w:val="-1"/>
      <w:kern w:val="3"/>
      <w:sz w:val="20"/>
      <w:szCs w:val="20"/>
      <w:lang w:val="en-US" w:bidi="en-US"/>
    </w:rPr>
  </w:style>
  <w:style w:type="paragraph" w:styleId="a8">
    <w:name w:val="No Spacing"/>
    <w:uiPriority w:val="1"/>
    <w:qFormat/>
    <w:rsid w:val="00643BFD"/>
    <w:pPr>
      <w:suppressAutoHyphens/>
      <w:spacing w:after="0" w:line="240" w:lineRule="auto"/>
    </w:pPr>
    <w:rPr>
      <w:lang w:eastAsia="zh-CN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kpnu.edu.ua/enrol/index.php?id=436" TargetMode="External" /><Relationship Id="rId3" Type="http://schemas.openxmlformats.org/officeDocument/2006/relationships/styles" Target="styles.xml" /><Relationship Id="rId7" Type="http://schemas.openxmlformats.org/officeDocument/2006/relationships/hyperlink" Target="about:blank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kaf-music.kpnu.edu.ua/marynin" TargetMode="Externa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bkLQP+g7mZ8E9hgs34N1JT4o6A==">AMUW2mUfgl8+GfvwMNlvfMe8LQ9h8tA3eZNgKQ713lYcIPtdmqXac2biHFLgf07155eWmi9F37nqdqRRs119feQFgwcyp7cJf7tmB0quTKUkbmiFSDFoZbl/SeYUevmLcKFkKOaOK4mD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1292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</cp:lastModifiedBy>
  <cp:revision>5</cp:revision>
  <dcterms:created xsi:type="dcterms:W3CDTF">2021-10-23T11:23:00Z</dcterms:created>
  <dcterms:modified xsi:type="dcterms:W3CDTF">2021-10-23T11:36:00Z</dcterms:modified>
</cp:coreProperties>
</file>